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2C8C4461" w:rsidR="003D09D6" w:rsidRPr="003D09D6" w:rsidRDefault="006A3EFF"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 xml:space="preserve"> </w:t>
      </w:r>
      <w:r w:rsidR="003D09D6" w:rsidRPr="003D09D6">
        <w:rPr>
          <w:rFonts w:asciiTheme="minorHAnsi" w:hAnsiTheme="minorHAnsi" w:cs="Arial"/>
          <w:b/>
          <w:bCs/>
          <w:sz w:val="24"/>
          <w:szCs w:val="28"/>
          <w:lang w:val="en-CA"/>
        </w:rPr>
        <w:t>3GPP TSG RAN WG4 Meeting #10</w:t>
      </w:r>
      <w:r w:rsidR="0023714D">
        <w:rPr>
          <w:rFonts w:asciiTheme="minorHAnsi" w:hAnsiTheme="minorHAnsi" w:cs="Arial"/>
          <w:b/>
          <w:bCs/>
          <w:sz w:val="24"/>
          <w:szCs w:val="28"/>
          <w:lang w:val="en-CA"/>
        </w:rPr>
        <w:t>9</w:t>
      </w:r>
      <w:r w:rsidR="003D09D6"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3D09D6" w:rsidRPr="003D09D6">
        <w:rPr>
          <w:rFonts w:asciiTheme="minorHAnsi" w:hAnsiTheme="minorHAnsi" w:cs="Arial"/>
          <w:b/>
          <w:bCs/>
          <w:sz w:val="24"/>
          <w:szCs w:val="28"/>
          <w:lang w:val="en-CA"/>
        </w:rPr>
        <w:t>R4-23</w:t>
      </w:r>
      <w:r w:rsidR="00127DAC">
        <w:rPr>
          <w:rFonts w:asciiTheme="minorHAnsi" w:hAnsiTheme="minorHAnsi" w:cs="Arial"/>
          <w:b/>
          <w:bCs/>
          <w:sz w:val="24"/>
          <w:szCs w:val="28"/>
          <w:lang w:val="en-CA"/>
        </w:rPr>
        <w:t>20766</w:t>
      </w:r>
    </w:p>
    <w:p w14:paraId="11677D60" w14:textId="0725D4CE" w:rsidR="003D09D6" w:rsidRPr="003D09D6" w:rsidRDefault="0023714D"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Chicago</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USA</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13 Nov.</w:t>
      </w:r>
      <w:r w:rsidR="001B609B">
        <w:rPr>
          <w:rFonts w:asciiTheme="minorHAnsi" w:hAnsiTheme="minorHAnsi" w:cs="Arial"/>
          <w:b/>
          <w:bCs/>
          <w:sz w:val="24"/>
          <w:szCs w:val="28"/>
          <w:lang w:val="en-CA"/>
        </w:rPr>
        <w:t xml:space="preserve"> </w:t>
      </w:r>
      <w:r w:rsidR="003D09D6" w:rsidRPr="003D09D6">
        <w:rPr>
          <w:rFonts w:asciiTheme="minorHAnsi" w:hAnsiTheme="minorHAnsi" w:cs="Arial"/>
          <w:b/>
          <w:bCs/>
          <w:sz w:val="24"/>
          <w:szCs w:val="28"/>
          <w:lang w:val="en-CA"/>
        </w:rPr>
        <w:t xml:space="preserve">2023 – </w:t>
      </w:r>
      <w:r w:rsidR="001B609B">
        <w:rPr>
          <w:rFonts w:asciiTheme="minorHAnsi" w:hAnsiTheme="minorHAnsi" w:cs="Arial"/>
          <w:b/>
          <w:bCs/>
          <w:sz w:val="24"/>
          <w:szCs w:val="28"/>
          <w:lang w:val="en-CA"/>
        </w:rPr>
        <w:t>1</w:t>
      </w:r>
      <w:r>
        <w:rPr>
          <w:rFonts w:asciiTheme="minorHAnsi" w:hAnsiTheme="minorHAnsi" w:cs="Arial"/>
          <w:b/>
          <w:bCs/>
          <w:sz w:val="24"/>
          <w:szCs w:val="28"/>
          <w:lang w:val="en-CA"/>
        </w:rPr>
        <w:t>7</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Nov. </w:t>
      </w:r>
      <w:r w:rsidR="003D09D6" w:rsidRPr="003D09D6">
        <w:rPr>
          <w:rFonts w:asciiTheme="minorHAnsi" w:hAnsiTheme="minorHAnsi" w:cs="Arial"/>
          <w:b/>
          <w:bCs/>
          <w:sz w:val="24"/>
          <w:szCs w:val="28"/>
          <w:lang w:val="en-CA"/>
        </w:rPr>
        <w:t>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293A7C71"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23714D">
        <w:rPr>
          <w:rFonts w:asciiTheme="minorHAnsi" w:hAnsiTheme="minorHAnsi" w:cs="Arial"/>
          <w:b/>
          <w:bCs/>
          <w:sz w:val="24"/>
          <w:szCs w:val="28"/>
          <w:lang w:val="en-CA"/>
        </w:rPr>
        <w:t>8</w:t>
      </w:r>
      <w:r w:rsidR="0060797E">
        <w:rPr>
          <w:rFonts w:asciiTheme="minorHAnsi" w:hAnsiTheme="minorHAnsi" w:cs="Arial"/>
          <w:b/>
          <w:bCs/>
          <w:sz w:val="24"/>
          <w:szCs w:val="28"/>
          <w:lang w:val="en-CA"/>
        </w:rPr>
        <w:t>.8.2.</w:t>
      </w:r>
      <w:r w:rsidR="00EF6A7C">
        <w:rPr>
          <w:rFonts w:asciiTheme="minorHAnsi" w:hAnsiTheme="minorHAnsi" w:cs="Arial"/>
          <w:b/>
          <w:bCs/>
          <w:sz w:val="24"/>
          <w:szCs w:val="28"/>
          <w:lang w:val="en-CA"/>
        </w:rPr>
        <w:t>2</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7D790D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6F7E98">
        <w:rPr>
          <w:rFonts w:asciiTheme="minorHAnsi" w:hAnsiTheme="minorHAnsi" w:cs="Arial"/>
          <w:sz w:val="24"/>
          <w:szCs w:val="24"/>
          <w:lang w:val="en-CA"/>
        </w:rPr>
        <w:t xml:space="preserve">general aspects of the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7308F487"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9C514A" w:rsidRPr="003C7A2E">
        <w:rPr>
          <w:rFonts w:asciiTheme="minorHAnsi" w:hAnsiTheme="minorHAnsi"/>
          <w:sz w:val="22"/>
          <w:lang w:val="en-CA"/>
        </w:rPr>
        <w:t xml:space="preserve">other </w:t>
      </w:r>
      <w:r w:rsidRPr="003C7A2E">
        <w:rPr>
          <w:rFonts w:asciiTheme="minorHAnsi" w:hAnsiTheme="minorHAnsi"/>
          <w:sz w:val="22"/>
          <w:lang w:val="en-CA"/>
        </w:rPr>
        <w:t>enhancement</w:t>
      </w:r>
      <w:r w:rsidR="009C514A" w:rsidRPr="003C7A2E">
        <w:rPr>
          <w:rFonts w:asciiTheme="minorHAnsi" w:hAnsiTheme="minorHAnsi"/>
          <w:sz w:val="22"/>
          <w:lang w:val="en-CA"/>
        </w:rPr>
        <w:t>s</w:t>
      </w:r>
      <w:r w:rsidR="0066328F" w:rsidRPr="003C7A2E">
        <w:rPr>
          <w:rFonts w:asciiTheme="minorHAnsi" w:hAnsiTheme="minorHAnsi"/>
          <w:sz w:val="22"/>
          <w:lang w:val="en-CA"/>
        </w:rPr>
        <w:t xml:space="preserve">, </w:t>
      </w:r>
      <w:r w:rsidR="00086385" w:rsidRPr="00086385">
        <w:rPr>
          <w:rFonts w:asciiTheme="minorHAnsi" w:hAnsiTheme="minorHAnsi"/>
          <w:sz w:val="22"/>
          <w:lang w:val="en-CA"/>
        </w:rPr>
        <w:t>multiple SCell activation case 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572C6D96" w14:textId="331C40C9" w:rsidR="00D60B10" w:rsidRDefault="00D60B10" w:rsidP="00877448">
      <w:pPr>
        <w:rPr>
          <w:bCs/>
          <w:lang w:eastAsia="ko-KR"/>
        </w:rPr>
      </w:pPr>
      <w:r w:rsidRPr="00D60B10">
        <w:rPr>
          <w:bCs/>
          <w:lang w:eastAsia="ko-KR"/>
        </w:rPr>
        <w:t xml:space="preserve">In last meeting UE capabilities were </w:t>
      </w:r>
      <w:r w:rsidR="00E42D8E">
        <w:rPr>
          <w:bCs/>
          <w:lang w:eastAsia="ko-KR"/>
        </w:rPr>
        <w:t>agreed</w:t>
      </w:r>
      <w:r>
        <w:rPr>
          <w:bCs/>
          <w:lang w:eastAsia="ko-KR"/>
        </w:rPr>
        <w:t xml:space="preserve"> and the following WF is agreed. </w:t>
      </w:r>
    </w:p>
    <w:p w14:paraId="41105A91" w14:textId="77777777" w:rsidR="00501D4B" w:rsidRDefault="00501D4B" w:rsidP="00501D4B">
      <w:pPr>
        <w:rPr>
          <w:b/>
          <w:color w:val="0070C0"/>
          <w:u w:val="single"/>
          <w:lang w:eastAsia="ko-KR"/>
        </w:rPr>
      </w:pPr>
      <w:r>
        <w:rPr>
          <w:b/>
          <w:color w:val="0070C0"/>
          <w:u w:val="single"/>
          <w:lang w:eastAsia="ko-KR"/>
        </w:rPr>
        <w:t>Issue 3-1-1a: if option 1 is adopted in issue 3-1-1, discuss the following issues</w:t>
      </w:r>
    </w:p>
    <w:p w14:paraId="2B6F441E" w14:textId="77777777" w:rsidR="00501D4B" w:rsidRDefault="00501D4B" w:rsidP="00501D4B">
      <w:pPr>
        <w:pStyle w:val="ListParagraph"/>
        <w:numPr>
          <w:ilvl w:val="0"/>
          <w:numId w:val="37"/>
        </w:numPr>
        <w:autoSpaceDN w:val="0"/>
        <w:spacing w:after="120"/>
        <w:contextualSpacing w:val="0"/>
        <w:rPr>
          <w:lang w:eastAsia="zh-CN"/>
        </w:rPr>
      </w:pPr>
      <w:r>
        <w:t>FFS:</w:t>
      </w:r>
    </w:p>
    <w:p w14:paraId="66950BC3" w14:textId="77777777" w:rsidR="00501D4B" w:rsidRDefault="00501D4B" w:rsidP="00501D4B">
      <w:pPr>
        <w:pStyle w:val="ListParagraph"/>
        <w:numPr>
          <w:ilvl w:val="1"/>
          <w:numId w:val="37"/>
        </w:numPr>
        <w:autoSpaceDN w:val="0"/>
        <w:spacing w:after="120"/>
        <w:contextualSpacing w:val="0"/>
      </w:pPr>
      <w:r>
        <w:t xml:space="preserve">Proposal 1 (CMCC): </w:t>
      </w:r>
    </w:p>
    <w:p w14:paraId="7EF12202" w14:textId="77777777" w:rsidR="00501D4B" w:rsidRDefault="00501D4B" w:rsidP="00501D4B">
      <w:pPr>
        <w:pStyle w:val="ListParagraph"/>
        <w:numPr>
          <w:ilvl w:val="2"/>
          <w:numId w:val="37"/>
        </w:numPr>
        <w:autoSpaceDN w:val="0"/>
        <w:spacing w:after="120"/>
        <w:contextualSpacing w:val="0"/>
      </w:pPr>
      <w:r>
        <w:t>If it is agreed that the L3 measurement report after SCell activation command, and using SSB periodicity instead of SMTC periodicity are applicable for FR1 SCell activation delay reduction, it is proposed that the related UE capabilities are applied for both FR1 and FR2.</w:t>
      </w:r>
    </w:p>
    <w:p w14:paraId="03B2B5B2" w14:textId="77777777" w:rsidR="00501D4B" w:rsidRDefault="00501D4B" w:rsidP="00501D4B">
      <w:pPr>
        <w:pStyle w:val="ListParagraph"/>
        <w:numPr>
          <w:ilvl w:val="1"/>
          <w:numId w:val="37"/>
        </w:numPr>
        <w:autoSpaceDN w:val="0"/>
        <w:spacing w:after="120"/>
        <w:contextualSpacing w:val="0"/>
      </w:pPr>
      <w:r>
        <w:t>Proposal 2 (HW, Apple):</w:t>
      </w:r>
    </w:p>
    <w:p w14:paraId="79F110A7" w14:textId="77777777" w:rsidR="00501D4B" w:rsidRDefault="00501D4B" w:rsidP="00501D4B">
      <w:pPr>
        <w:pStyle w:val="ListParagraph"/>
        <w:numPr>
          <w:ilvl w:val="2"/>
          <w:numId w:val="37"/>
        </w:numPr>
        <w:autoSpaceDN w:val="0"/>
        <w:spacing w:after="120"/>
        <w:contextualSpacing w:val="0"/>
      </w:pPr>
      <w:r>
        <w:rPr>
          <w:bCs/>
        </w:rPr>
        <w:t>For L3 measurement reporting triggered by SCell activation, introduce per UE capability indication.</w:t>
      </w:r>
    </w:p>
    <w:p w14:paraId="3018D034" w14:textId="77777777" w:rsidR="00501D4B" w:rsidRDefault="00501D4B" w:rsidP="00501D4B">
      <w:pPr>
        <w:pStyle w:val="ListParagraph"/>
        <w:numPr>
          <w:ilvl w:val="1"/>
          <w:numId w:val="37"/>
        </w:numPr>
        <w:autoSpaceDN w:val="0"/>
        <w:spacing w:after="120"/>
        <w:contextualSpacing w:val="0"/>
      </w:pPr>
      <w:r>
        <w:t>Proposal 3 (OPPO):</w:t>
      </w:r>
    </w:p>
    <w:p w14:paraId="42F82658" w14:textId="77777777" w:rsidR="00501D4B" w:rsidRDefault="00501D4B" w:rsidP="00501D4B">
      <w:pPr>
        <w:pStyle w:val="ListParagraph"/>
        <w:numPr>
          <w:ilvl w:val="2"/>
          <w:numId w:val="37"/>
        </w:numPr>
        <w:autoSpaceDN w:val="0"/>
        <w:spacing w:after="120"/>
        <w:contextualSpacing w:val="0"/>
        <w:rPr>
          <w:rFonts w:eastAsia="MS Mincho"/>
          <w:bCs/>
        </w:rPr>
      </w:pPr>
      <w:r>
        <w:rPr>
          <w:bCs/>
        </w:rPr>
        <w:t>Two options to define UE capability for FR2 unknown SCell activation enhancement:</w:t>
      </w:r>
    </w:p>
    <w:p w14:paraId="44E3D470" w14:textId="77777777" w:rsidR="00501D4B" w:rsidRDefault="00501D4B" w:rsidP="00501D4B">
      <w:pPr>
        <w:pStyle w:val="ListParagraph"/>
        <w:numPr>
          <w:ilvl w:val="3"/>
          <w:numId w:val="37"/>
        </w:numPr>
        <w:autoSpaceDN w:val="0"/>
        <w:spacing w:after="120"/>
        <w:contextualSpacing w:val="0"/>
        <w:rPr>
          <w:bCs/>
        </w:rPr>
      </w:pPr>
      <w:r>
        <w:rPr>
          <w:bCs/>
        </w:rPr>
        <w:t xml:space="preserve">Option 1: introduce UE capability for support the feature of FR2 unknown SCell activation enhancement at least including new L3 report, enhanced SCell activation delay and faster beam sweeping as one whole package. </w:t>
      </w:r>
    </w:p>
    <w:p w14:paraId="735997B0" w14:textId="77777777" w:rsidR="00501D4B" w:rsidRDefault="00501D4B" w:rsidP="00501D4B">
      <w:pPr>
        <w:pStyle w:val="ListParagraph"/>
        <w:numPr>
          <w:ilvl w:val="3"/>
          <w:numId w:val="37"/>
        </w:numPr>
        <w:autoSpaceDN w:val="0"/>
        <w:spacing w:after="120"/>
        <w:contextualSpacing w:val="0"/>
        <w:rPr>
          <w:bCs/>
        </w:rPr>
      </w:pPr>
      <w:r>
        <w:rPr>
          <w:bCs/>
        </w:rPr>
        <w:t>Option 2: include FR2 unknown SCell activation enhancement as part of R18 RRM enhancement in UE feature list.</w:t>
      </w:r>
    </w:p>
    <w:p w14:paraId="4F1D3452" w14:textId="77777777" w:rsidR="00501D4B" w:rsidRDefault="00501D4B" w:rsidP="00501D4B">
      <w:pPr>
        <w:pStyle w:val="ListParagraph"/>
        <w:numPr>
          <w:ilvl w:val="1"/>
          <w:numId w:val="37"/>
        </w:numPr>
        <w:autoSpaceDN w:val="0"/>
        <w:spacing w:after="120"/>
        <w:contextualSpacing w:val="0"/>
      </w:pPr>
      <w:r>
        <w:t>Proposal 4 (ZTE):</w:t>
      </w:r>
    </w:p>
    <w:p w14:paraId="2E6D1185" w14:textId="77777777" w:rsidR="00501D4B" w:rsidRDefault="00501D4B" w:rsidP="00501D4B">
      <w:pPr>
        <w:pStyle w:val="ListParagraph"/>
        <w:numPr>
          <w:ilvl w:val="2"/>
          <w:numId w:val="37"/>
        </w:numPr>
        <w:autoSpaceDN w:val="0"/>
        <w:spacing w:after="120"/>
        <w:contextualSpacing w:val="0"/>
        <w:rPr>
          <w:rFonts w:eastAsia="MS Mincho"/>
          <w:bCs/>
        </w:rPr>
      </w:pPr>
      <w:r>
        <w:rPr>
          <w:bCs/>
        </w:rPr>
        <w:t>such UE capability is common for the single SCell activation, single PUCCH SCell activation and multiple SCell activation.</w:t>
      </w:r>
    </w:p>
    <w:p w14:paraId="2CFA3A10" w14:textId="77777777" w:rsidR="00501D4B" w:rsidRDefault="00501D4B" w:rsidP="00877448">
      <w:pPr>
        <w:rPr>
          <w:bCs/>
          <w:lang w:eastAsia="ko-KR"/>
        </w:rPr>
      </w:pPr>
    </w:p>
    <w:p w14:paraId="7D1D401D" w14:textId="7449DECF" w:rsidR="00515B5B" w:rsidRDefault="00515B5B" w:rsidP="00877448">
      <w:pPr>
        <w:rPr>
          <w:bCs/>
          <w:lang w:eastAsia="ko-KR"/>
        </w:rPr>
      </w:pPr>
      <w:r>
        <w:rPr>
          <w:bCs/>
          <w:lang w:eastAsia="ko-KR"/>
        </w:rPr>
        <w:t xml:space="preserve">In last meeting it was agreed that L3 report </w:t>
      </w:r>
      <w:r w:rsidR="000C3D50">
        <w:rPr>
          <w:bCs/>
          <w:lang w:eastAsia="ko-KR"/>
        </w:rPr>
        <w:t xml:space="preserve">based SCell activation enhancement can be applied to FR1 also. </w:t>
      </w:r>
      <w:r w:rsidR="009032DD">
        <w:rPr>
          <w:bCs/>
          <w:lang w:eastAsia="ko-KR"/>
        </w:rPr>
        <w:t xml:space="preserve">Hence the </w:t>
      </w:r>
      <w:r w:rsidR="000C3D50" w:rsidRPr="000C3D50">
        <w:rPr>
          <w:bCs/>
          <w:lang w:eastAsia="ko-KR"/>
        </w:rPr>
        <w:t xml:space="preserve">UE capability of </w:t>
      </w:r>
      <w:r w:rsidR="0044104F">
        <w:rPr>
          <w:bCs/>
          <w:lang w:eastAsia="ko-KR"/>
        </w:rPr>
        <w:t>sending</w:t>
      </w:r>
      <w:r w:rsidR="000C3D50" w:rsidRPr="000C3D50">
        <w:rPr>
          <w:bCs/>
          <w:lang w:eastAsia="ko-KR"/>
        </w:rPr>
        <w:t xml:space="preserve"> L3 report after SCell activation command can be applied for FR1 and FR2. </w:t>
      </w:r>
      <w:r w:rsidR="0044104F">
        <w:rPr>
          <w:bCs/>
          <w:lang w:eastAsia="ko-KR"/>
        </w:rPr>
        <w:t xml:space="preserve">Since this </w:t>
      </w:r>
      <w:r w:rsidR="009848AC">
        <w:rPr>
          <w:bCs/>
          <w:lang w:eastAsia="ko-KR"/>
        </w:rPr>
        <w:t xml:space="preserve">is applied for FR1 and FR2, we suggest having this capability as per UE. </w:t>
      </w:r>
    </w:p>
    <w:p w14:paraId="30F9F5D7" w14:textId="58F8FDCD" w:rsidR="009848AC" w:rsidRPr="0068375B" w:rsidRDefault="009848AC" w:rsidP="0068375B">
      <w:pPr>
        <w:pStyle w:val="ListParagraph"/>
        <w:numPr>
          <w:ilvl w:val="0"/>
          <w:numId w:val="38"/>
        </w:numPr>
        <w:rPr>
          <w:bCs/>
          <w:lang w:eastAsia="ko-KR"/>
        </w:rPr>
      </w:pPr>
      <w:r w:rsidRPr="0068375B">
        <w:rPr>
          <w:bCs/>
          <w:lang w:eastAsia="ko-KR"/>
        </w:rPr>
        <w:t>UE capability of sending L3 report after SCell activation command to be introduced as per-UE</w:t>
      </w:r>
    </w:p>
    <w:p w14:paraId="31C4B08A" w14:textId="6B9D7519" w:rsidR="009F5848" w:rsidRDefault="00957F18" w:rsidP="008070F6">
      <w:pPr>
        <w:overflowPunct w:val="0"/>
        <w:autoSpaceDE w:val="0"/>
        <w:autoSpaceDN w:val="0"/>
        <w:adjustRightInd w:val="0"/>
        <w:spacing w:after="120"/>
        <w:textAlignment w:val="baseline"/>
        <w:rPr>
          <w:sz w:val="22"/>
        </w:rPr>
      </w:pPr>
      <w:r>
        <w:rPr>
          <w:sz w:val="22"/>
        </w:rPr>
        <w:t xml:space="preserve">Other open issue </w:t>
      </w:r>
      <w:r w:rsidR="008849EA">
        <w:rPr>
          <w:sz w:val="22"/>
        </w:rPr>
        <w:t xml:space="preserve">after last meeting was </w:t>
      </w:r>
    </w:p>
    <w:p w14:paraId="46685A64" w14:textId="77777777" w:rsidR="008849EA" w:rsidRDefault="008849EA" w:rsidP="008849EA">
      <w:pPr>
        <w:rPr>
          <w:b/>
          <w:color w:val="0070C0"/>
          <w:u w:val="single"/>
          <w:lang w:eastAsia="ko-KR"/>
        </w:rPr>
      </w:pPr>
      <w:r>
        <w:rPr>
          <w:b/>
          <w:color w:val="0070C0"/>
          <w:u w:val="single"/>
          <w:lang w:eastAsia="ko-KR"/>
        </w:rPr>
        <w:t xml:space="preserve">Issue 3-1-2a: if option 1 is adopted in issue 3-1-2, discuss the following issues </w:t>
      </w:r>
    </w:p>
    <w:p w14:paraId="2C6097AE" w14:textId="77777777" w:rsidR="008849EA" w:rsidRDefault="008849EA" w:rsidP="008849EA">
      <w:pPr>
        <w:pStyle w:val="ListParagraph"/>
        <w:numPr>
          <w:ilvl w:val="0"/>
          <w:numId w:val="37"/>
        </w:numPr>
        <w:autoSpaceDN w:val="0"/>
        <w:spacing w:after="120"/>
        <w:contextualSpacing w:val="0"/>
        <w:rPr>
          <w:lang w:eastAsia="zh-CN"/>
        </w:rPr>
      </w:pPr>
      <w:r>
        <w:t>FFS</w:t>
      </w:r>
    </w:p>
    <w:p w14:paraId="10A7B087" w14:textId="77777777" w:rsidR="008849EA" w:rsidRDefault="008849EA" w:rsidP="008849EA">
      <w:pPr>
        <w:pStyle w:val="ListParagraph"/>
        <w:numPr>
          <w:ilvl w:val="1"/>
          <w:numId w:val="37"/>
        </w:numPr>
        <w:autoSpaceDN w:val="0"/>
        <w:spacing w:after="120"/>
        <w:contextualSpacing w:val="0"/>
      </w:pPr>
      <w:r>
        <w:t xml:space="preserve">Proposal 1: </w:t>
      </w:r>
    </w:p>
    <w:p w14:paraId="0C2BD502" w14:textId="77777777" w:rsidR="008849EA" w:rsidRDefault="008849EA" w:rsidP="008849EA">
      <w:pPr>
        <w:pStyle w:val="ListParagraph"/>
        <w:numPr>
          <w:ilvl w:val="2"/>
          <w:numId w:val="37"/>
        </w:numPr>
        <w:autoSpaceDN w:val="0"/>
        <w:spacing w:after="120"/>
        <w:contextualSpacing w:val="0"/>
      </w:pPr>
      <w:r>
        <w:lastRenderedPageBreak/>
        <w:t>Option 1(MTK, CMCC, CTC, ZTE, Apple): Two beam sweeping factor reduction capability for L3 and L1, respectively, to indicate beam sweeping factor capability of X1 for cell detection part (X1*Trs) and beam sweeping factor capability of X2 for SSB based L1-RSRP measurement.</w:t>
      </w:r>
    </w:p>
    <w:p w14:paraId="0897566B" w14:textId="77777777" w:rsidR="008849EA" w:rsidRDefault="008849EA" w:rsidP="008849EA">
      <w:pPr>
        <w:pStyle w:val="ListParagraph"/>
        <w:numPr>
          <w:ilvl w:val="2"/>
          <w:numId w:val="37"/>
        </w:numPr>
        <w:autoSpaceDN w:val="0"/>
        <w:spacing w:after="120"/>
        <w:contextualSpacing w:val="0"/>
      </w:pPr>
      <w:r>
        <w:t>Option 2(Ericsson, vivo): Beam sweeping factor reduction to be a single capability and if UE supports this capability, UE should report X1 and X2.</w:t>
      </w:r>
    </w:p>
    <w:p w14:paraId="30DAEC30" w14:textId="77777777" w:rsidR="008849EA" w:rsidRDefault="008849EA" w:rsidP="008849EA">
      <w:pPr>
        <w:pStyle w:val="ListParagraph"/>
        <w:numPr>
          <w:ilvl w:val="1"/>
          <w:numId w:val="37"/>
        </w:numPr>
        <w:autoSpaceDN w:val="0"/>
        <w:spacing w:after="120"/>
        <w:contextualSpacing w:val="0"/>
      </w:pPr>
      <w:r>
        <w:t>Proposal 2 (HW, Apple):</w:t>
      </w:r>
    </w:p>
    <w:p w14:paraId="59A3B272" w14:textId="77777777" w:rsidR="008849EA" w:rsidRDefault="008849EA" w:rsidP="008849EA">
      <w:pPr>
        <w:pStyle w:val="ListParagraph"/>
        <w:numPr>
          <w:ilvl w:val="2"/>
          <w:numId w:val="37"/>
        </w:numPr>
        <w:autoSpaceDN w:val="0"/>
        <w:spacing w:after="120"/>
        <w:contextualSpacing w:val="0"/>
      </w:pPr>
      <w:r>
        <w:t>For X1 and X2, introduce per band capability indication</w:t>
      </w:r>
    </w:p>
    <w:p w14:paraId="753885E2" w14:textId="509B11AA" w:rsidR="008849EA" w:rsidRDefault="008849EA" w:rsidP="008070F6">
      <w:pPr>
        <w:overflowPunct w:val="0"/>
        <w:autoSpaceDE w:val="0"/>
        <w:autoSpaceDN w:val="0"/>
        <w:adjustRightInd w:val="0"/>
        <w:spacing w:after="120"/>
        <w:textAlignment w:val="baseline"/>
        <w:rPr>
          <w:sz w:val="22"/>
        </w:rPr>
      </w:pPr>
      <w:r>
        <w:rPr>
          <w:sz w:val="22"/>
        </w:rPr>
        <w:t xml:space="preserve">Since it is agreed to have X1 and X2 in the same feature group, </w:t>
      </w:r>
      <w:r w:rsidR="00172B70">
        <w:rPr>
          <w:sz w:val="22"/>
        </w:rPr>
        <w:t xml:space="preserve">main open issue is what should be the UE capability type. Since beam sweeping factor reduction is only for FR2, we </w:t>
      </w:r>
      <w:r w:rsidR="00EC3E41">
        <w:rPr>
          <w:sz w:val="22"/>
        </w:rPr>
        <w:t xml:space="preserve">think it can be introduced as </w:t>
      </w:r>
      <w:r w:rsidR="00172B70">
        <w:rPr>
          <w:sz w:val="22"/>
        </w:rPr>
        <w:t xml:space="preserve"> per-band</w:t>
      </w:r>
      <w:r w:rsidR="00EC3E41">
        <w:rPr>
          <w:sz w:val="22"/>
        </w:rPr>
        <w:t>,</w:t>
      </w:r>
    </w:p>
    <w:p w14:paraId="1BC9499A" w14:textId="15D81043" w:rsidR="00EC3E41" w:rsidRPr="007C0FAC" w:rsidRDefault="00ED3DC2" w:rsidP="001F6729">
      <w:pPr>
        <w:pStyle w:val="ListParagraph"/>
        <w:numPr>
          <w:ilvl w:val="0"/>
          <w:numId w:val="38"/>
        </w:numPr>
        <w:overflowPunct w:val="0"/>
        <w:autoSpaceDE w:val="0"/>
        <w:autoSpaceDN w:val="0"/>
        <w:adjustRightInd w:val="0"/>
        <w:spacing w:after="120"/>
        <w:textAlignment w:val="baseline"/>
        <w:rPr>
          <w:sz w:val="22"/>
        </w:rPr>
      </w:pPr>
      <w:r>
        <w:t>For X1 and X2, introduce per band capability indication</w:t>
      </w:r>
      <w:r w:rsidR="007C0FAC">
        <w:t>.</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Pr="004E74AE" w:rsidRDefault="00D61459" w:rsidP="00106498">
      <w:pPr>
        <w:rPr>
          <w:sz w:val="22"/>
          <w:lang w:val="en-CA"/>
        </w:rPr>
      </w:pPr>
      <w:r w:rsidRPr="004E74AE">
        <w:rPr>
          <w:sz w:val="22"/>
          <w:lang w:val="en-CA"/>
        </w:rPr>
        <w:t>In this contribution we have provided our views on the FR2 SCell activation delay reduction and made following proposals:</w:t>
      </w:r>
    </w:p>
    <w:p w14:paraId="3A8C3B30" w14:textId="77777777" w:rsidR="007C0FAC" w:rsidRPr="0068375B" w:rsidRDefault="007C0FAC" w:rsidP="007C0FAC">
      <w:pPr>
        <w:pStyle w:val="ListParagraph"/>
        <w:numPr>
          <w:ilvl w:val="0"/>
          <w:numId w:val="39"/>
        </w:numPr>
        <w:rPr>
          <w:bCs/>
          <w:lang w:eastAsia="ko-KR"/>
        </w:rPr>
      </w:pPr>
      <w:r w:rsidRPr="0068375B">
        <w:rPr>
          <w:bCs/>
          <w:lang w:eastAsia="ko-KR"/>
        </w:rPr>
        <w:t>UE capability of sending L3 report after SCell activation command to be introduced as per-UE</w:t>
      </w:r>
    </w:p>
    <w:p w14:paraId="4387D895" w14:textId="5927EF1B" w:rsidR="00495A64" w:rsidRPr="00864602" w:rsidRDefault="007C0FAC" w:rsidP="00EF4F58">
      <w:pPr>
        <w:pStyle w:val="ListParagraph"/>
        <w:numPr>
          <w:ilvl w:val="0"/>
          <w:numId w:val="39"/>
        </w:numPr>
        <w:overflowPunct w:val="0"/>
        <w:autoSpaceDE w:val="0"/>
        <w:autoSpaceDN w:val="0"/>
        <w:adjustRightInd w:val="0"/>
        <w:spacing w:after="120"/>
        <w:textAlignment w:val="baseline"/>
        <w:rPr>
          <w:rFonts w:asciiTheme="minorHAnsi" w:hAnsiTheme="minorHAnsi"/>
          <w:sz w:val="22"/>
        </w:rPr>
      </w:pPr>
      <w:r>
        <w:t>For X1 and X2, introduce per band capability indication.</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1EBFE5D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w:t>
      </w:r>
      <w:r w:rsidR="004F0FC0">
        <w:rPr>
          <w:rFonts w:asciiTheme="minorHAnsi" w:hAnsiTheme="minorHAnsi"/>
          <w:sz w:val="22"/>
          <w:szCs w:val="22"/>
        </w:rPr>
        <w:t>7350</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EB885" w14:textId="77777777" w:rsidR="00AE3885" w:rsidRDefault="00AE3885">
      <w:r>
        <w:separator/>
      </w:r>
    </w:p>
  </w:endnote>
  <w:endnote w:type="continuationSeparator" w:id="0">
    <w:p w14:paraId="07E67B47" w14:textId="77777777" w:rsidR="00AE3885" w:rsidRDefault="00AE3885">
      <w:r>
        <w:continuationSeparator/>
      </w:r>
    </w:p>
  </w:endnote>
  <w:endnote w:type="continuationNotice" w:id="1">
    <w:p w14:paraId="0A588138" w14:textId="77777777" w:rsidR="00AE3885" w:rsidRDefault="00AE3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22245" w14:textId="77777777" w:rsidR="00AE3885" w:rsidRDefault="00AE3885">
      <w:r>
        <w:separator/>
      </w:r>
    </w:p>
  </w:footnote>
  <w:footnote w:type="continuationSeparator" w:id="0">
    <w:p w14:paraId="0973B29D" w14:textId="77777777" w:rsidR="00AE3885" w:rsidRDefault="00AE3885">
      <w:r>
        <w:continuationSeparator/>
      </w:r>
    </w:p>
  </w:footnote>
  <w:footnote w:type="continuationNotice" w:id="1">
    <w:p w14:paraId="7DD293FD" w14:textId="77777777" w:rsidR="00AE3885" w:rsidRDefault="00AE3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2586B"/>
    <w:multiLevelType w:val="hybridMultilevel"/>
    <w:tmpl w:val="9D8EF506"/>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1C3373"/>
    <w:multiLevelType w:val="hybridMultilevel"/>
    <w:tmpl w:val="9D8EF50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5"/>
  </w:num>
  <w:num w:numId="2" w16cid:durableId="909533652">
    <w:abstractNumId w:val="33"/>
  </w:num>
  <w:num w:numId="3" w16cid:durableId="855189921">
    <w:abstractNumId w:val="30"/>
  </w:num>
  <w:num w:numId="4" w16cid:durableId="169148498">
    <w:abstractNumId w:val="14"/>
  </w:num>
  <w:num w:numId="5" w16cid:durableId="1131358376">
    <w:abstractNumId w:val="15"/>
  </w:num>
  <w:num w:numId="6" w16cid:durableId="656618368">
    <w:abstractNumId w:val="2"/>
  </w:num>
  <w:num w:numId="7" w16cid:durableId="711925221">
    <w:abstractNumId w:val="1"/>
  </w:num>
  <w:num w:numId="8" w16cid:durableId="1765959469">
    <w:abstractNumId w:val="36"/>
  </w:num>
  <w:num w:numId="9" w16cid:durableId="484013963">
    <w:abstractNumId w:val="24"/>
  </w:num>
  <w:num w:numId="10" w16cid:durableId="550776751">
    <w:abstractNumId w:val="29"/>
  </w:num>
  <w:num w:numId="11" w16cid:durableId="2106611072">
    <w:abstractNumId w:val="8"/>
  </w:num>
  <w:num w:numId="12" w16cid:durableId="899101234">
    <w:abstractNumId w:val="0"/>
  </w:num>
  <w:num w:numId="13" w16cid:durableId="2049337068">
    <w:abstractNumId w:val="16"/>
  </w:num>
  <w:num w:numId="14" w16cid:durableId="414909943">
    <w:abstractNumId w:val="28"/>
  </w:num>
  <w:num w:numId="15" w16cid:durableId="2087454580">
    <w:abstractNumId w:val="26"/>
  </w:num>
  <w:num w:numId="16" w16cid:durableId="546068386">
    <w:abstractNumId w:val="18"/>
  </w:num>
  <w:num w:numId="17" w16cid:durableId="2122869071">
    <w:abstractNumId w:val="13"/>
  </w:num>
  <w:num w:numId="18" w16cid:durableId="683365675">
    <w:abstractNumId w:val="35"/>
  </w:num>
  <w:num w:numId="19" w16cid:durableId="780414896">
    <w:abstractNumId w:val="20"/>
  </w:num>
  <w:num w:numId="20" w16cid:durableId="1880821694">
    <w:abstractNumId w:val="6"/>
  </w:num>
  <w:num w:numId="21" w16cid:durableId="1829326818">
    <w:abstractNumId w:val="21"/>
  </w:num>
  <w:num w:numId="22" w16cid:durableId="604272518">
    <w:abstractNumId w:val="12"/>
  </w:num>
  <w:num w:numId="23" w16cid:durableId="1246718577">
    <w:abstractNumId w:val="23"/>
  </w:num>
  <w:num w:numId="24" w16cid:durableId="1499080432">
    <w:abstractNumId w:val="10"/>
  </w:num>
  <w:num w:numId="25" w16cid:durableId="1182281652">
    <w:abstractNumId w:val="17"/>
  </w:num>
  <w:num w:numId="26" w16cid:durableId="744306720">
    <w:abstractNumId w:val="31"/>
  </w:num>
  <w:num w:numId="27" w16cid:durableId="1082289481">
    <w:abstractNumId w:val="4"/>
  </w:num>
  <w:num w:numId="28" w16cid:durableId="1556813973">
    <w:abstractNumId w:val="22"/>
  </w:num>
  <w:num w:numId="29" w16cid:durableId="1733041343">
    <w:abstractNumId w:val="34"/>
  </w:num>
  <w:num w:numId="30" w16cid:durableId="1198161151">
    <w:abstractNumId w:val="9"/>
  </w:num>
  <w:num w:numId="31" w16cid:durableId="1921257316">
    <w:abstractNumId w:val="30"/>
  </w:num>
  <w:num w:numId="32" w16cid:durableId="555819374">
    <w:abstractNumId w:val="7"/>
  </w:num>
  <w:num w:numId="33" w16cid:durableId="721056492">
    <w:abstractNumId w:val="5"/>
  </w:num>
  <w:num w:numId="34" w16cid:durableId="1609699379">
    <w:abstractNumId w:val="32"/>
  </w:num>
  <w:num w:numId="35" w16cid:durableId="1117917967">
    <w:abstractNumId w:val="19"/>
  </w:num>
  <w:num w:numId="36" w16cid:durableId="1662539240">
    <w:abstractNumId w:val="11"/>
  </w:num>
  <w:num w:numId="37" w16cid:durableId="1923563983">
    <w:abstractNumId w:val="23"/>
  </w:num>
  <w:num w:numId="38" w16cid:durableId="1321036633">
    <w:abstractNumId w:val="3"/>
  </w:num>
  <w:num w:numId="39" w16cid:durableId="204671135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50"/>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4A4"/>
    <w:rsid w:val="000E3A62"/>
    <w:rsid w:val="000E40D4"/>
    <w:rsid w:val="000E4402"/>
    <w:rsid w:val="000E4920"/>
    <w:rsid w:val="000E5FB8"/>
    <w:rsid w:val="000E682B"/>
    <w:rsid w:val="000E6833"/>
    <w:rsid w:val="000E6940"/>
    <w:rsid w:val="000E6ED2"/>
    <w:rsid w:val="000E6EE4"/>
    <w:rsid w:val="000E6F50"/>
    <w:rsid w:val="000E755D"/>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27DAC"/>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2B70"/>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14D"/>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2B3B"/>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34"/>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3A4"/>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6A3"/>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04F"/>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0FC0"/>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1D4B"/>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5B"/>
    <w:rsid w:val="00515BB3"/>
    <w:rsid w:val="00515DF2"/>
    <w:rsid w:val="00516933"/>
    <w:rsid w:val="00517029"/>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001"/>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75B"/>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EF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547D"/>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1D00"/>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426E"/>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AC"/>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0F6"/>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2DA2"/>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83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602"/>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B67"/>
    <w:rsid w:val="0088445C"/>
    <w:rsid w:val="008849EA"/>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2DD"/>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57F1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48AC"/>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3885"/>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36"/>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535"/>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210"/>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D8C"/>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4ED"/>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89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D8E"/>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16A0"/>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41"/>
    <w:rsid w:val="00EC3E6A"/>
    <w:rsid w:val="00EC42BE"/>
    <w:rsid w:val="00EC45CB"/>
    <w:rsid w:val="00EC49AE"/>
    <w:rsid w:val="00EC5397"/>
    <w:rsid w:val="00EC5A7E"/>
    <w:rsid w:val="00EC5AEE"/>
    <w:rsid w:val="00EC5BFF"/>
    <w:rsid w:val="00EC5EB9"/>
    <w:rsid w:val="00EC61A3"/>
    <w:rsid w:val="00EC63B4"/>
    <w:rsid w:val="00EC7AB8"/>
    <w:rsid w:val="00EC7B83"/>
    <w:rsid w:val="00EC7BE5"/>
    <w:rsid w:val="00ED04BF"/>
    <w:rsid w:val="00ED06C3"/>
    <w:rsid w:val="00ED07FA"/>
    <w:rsid w:val="00ED0B57"/>
    <w:rsid w:val="00ED17B8"/>
    <w:rsid w:val="00ED188D"/>
    <w:rsid w:val="00ED1E44"/>
    <w:rsid w:val="00ED20E9"/>
    <w:rsid w:val="00ED2552"/>
    <w:rsid w:val="00ED2E01"/>
    <w:rsid w:val="00ED3DC2"/>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5E2"/>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styleId="GridTable5Dark-Accent1">
    <w:name w:val="Grid Table 5 Dark Accent 1"/>
    <w:basedOn w:val="TableNormal"/>
    <w:uiPriority w:val="50"/>
    <w:rsid w:val="00C6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C6453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420287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194224688">
      <w:bodyDiv w:val="1"/>
      <w:marLeft w:val="0"/>
      <w:marRight w:val="0"/>
      <w:marTop w:val="0"/>
      <w:marBottom w:val="0"/>
      <w:divBdr>
        <w:top w:val="none" w:sz="0" w:space="0" w:color="auto"/>
        <w:left w:val="none" w:sz="0" w:space="0" w:color="auto"/>
        <w:bottom w:val="none" w:sz="0" w:space="0" w:color="auto"/>
        <w:right w:val="none" w:sz="0" w:space="0" w:color="auto"/>
      </w:divBdr>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4492612">
      <w:bodyDiv w:val="1"/>
      <w:marLeft w:val="0"/>
      <w:marRight w:val="0"/>
      <w:marTop w:val="0"/>
      <w:marBottom w:val="0"/>
      <w:divBdr>
        <w:top w:val="none" w:sz="0" w:space="0" w:color="auto"/>
        <w:left w:val="none" w:sz="0" w:space="0" w:color="auto"/>
        <w:bottom w:val="none" w:sz="0" w:space="0" w:color="auto"/>
        <w:right w:val="none" w:sz="0" w:space="0" w:color="auto"/>
      </w:divBdr>
    </w:div>
    <w:div w:id="1515732509">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2630496">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2f282d3b-eb4a-4b09-b61f-b9593442e286"/>
    <ds:schemaRef ds:uri="http://purl.org/dc/dcmitype/"/>
    <ds:schemaRef ds:uri="http://www.w3.org/XML/1998/namespace"/>
    <ds:schemaRef ds:uri="http://schemas.microsoft.com/office/infopath/2007/PartnerControls"/>
    <ds:schemaRef ds:uri="http://schemas.microsoft.com/sharepoint/v3"/>
    <ds:schemaRef ds:uri="http://schemas.microsoft.com/office/2006/metadata/properties"/>
    <ds:schemaRef ds:uri="http://purl.org/dc/terms/"/>
    <ds:schemaRef ds:uri="http://schemas.microsoft.com/office/2006/documentManagement/types"/>
    <ds:schemaRef ds:uri="9b239327-9e80-40e4-b1b7-4394fed77a33"/>
    <ds:schemaRef ds:uri="http://schemas.openxmlformats.org/package/2006/metadata/core-properties"/>
    <ds:schemaRef ds:uri="d8762117-8292-4133-b1c7-eab5c6487cf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2023-11-03T21:50:00Z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